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419F9" w14:textId="6669A307" w:rsidR="004C004A" w:rsidRDefault="009846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Prof. dr hab. Roman Kwiecień</w:t>
      </w:r>
    </w:p>
    <w:p w14:paraId="06C43A0A" w14:textId="417EAAEE" w:rsidR="00984611" w:rsidRDefault="00E10F53" w:rsidP="00E10F53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Wykaz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publikacji</w:t>
      </w:r>
      <w:proofErr w:type="spellEnd"/>
      <w:r>
        <w:rPr>
          <w:rFonts w:ascii="Times New Roman" w:hAnsi="Times New Roman" w:cs="Times New Roman"/>
        </w:rPr>
        <w:t xml:space="preserve"> 2021-2025</w:t>
      </w:r>
    </w:p>
    <w:p w14:paraId="7F3C1A03" w14:textId="08A77590" w:rsidR="00984611" w:rsidRDefault="009846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</w:t>
      </w:r>
    </w:p>
    <w:p w14:paraId="46664F26" w14:textId="4AB0087E" w:rsidR="00984611" w:rsidRPr="003F7B9A" w:rsidRDefault="00984611" w:rsidP="003F7B9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lang w:val="en-US"/>
        </w:rPr>
      </w:pPr>
      <w:r w:rsidRPr="003F7B9A">
        <w:rPr>
          <w:rFonts w:ascii="Times New Roman" w:hAnsi="Times New Roman" w:cs="Times New Roman"/>
          <w:i/>
          <w:iCs/>
          <w:lang w:val="en-US"/>
        </w:rPr>
        <w:t>The Legacy of the Wimbledon Case. Centenary of the First Judgment of the Permanent Court of International Justice</w:t>
      </w:r>
      <w:r w:rsidRPr="003F7B9A">
        <w:rPr>
          <w:rFonts w:ascii="Times New Roman" w:hAnsi="Times New Roman" w:cs="Times New Roman"/>
          <w:lang w:val="en-US"/>
        </w:rPr>
        <w:t xml:space="preserve"> (</w:t>
      </w:r>
      <w:r w:rsidRPr="003F7B9A">
        <w:rPr>
          <w:rFonts w:ascii="Times New Roman" w:hAnsi="Times New Roman" w:cs="Times New Roman"/>
          <w:lang w:val="en-US"/>
        </w:rPr>
        <w:t>ed. with</w:t>
      </w:r>
      <w:r w:rsidRPr="003F7B9A">
        <w:rPr>
          <w:rFonts w:ascii="Times New Roman" w:hAnsi="Times New Roman" w:cs="Times New Roman"/>
          <w:lang w:val="en-US"/>
        </w:rPr>
        <w:t xml:space="preserve"> Malgosia Fitzmaurice), Brill/</w:t>
      </w:r>
      <w:proofErr w:type="spellStart"/>
      <w:r w:rsidRPr="003F7B9A">
        <w:rPr>
          <w:rFonts w:ascii="Times New Roman" w:hAnsi="Times New Roman" w:cs="Times New Roman"/>
          <w:lang w:val="en-US"/>
        </w:rPr>
        <w:t>Nijhoff</w:t>
      </w:r>
      <w:proofErr w:type="spellEnd"/>
      <w:r w:rsidRPr="003F7B9A">
        <w:rPr>
          <w:rFonts w:ascii="Times New Roman" w:hAnsi="Times New Roman" w:cs="Times New Roman"/>
          <w:lang w:val="en-US"/>
        </w:rPr>
        <w:t xml:space="preserve">, Leiden-Boston 2025,  </w:t>
      </w:r>
      <w:hyperlink r:id="rId5" w:history="1">
        <w:r w:rsidRPr="003F7B9A">
          <w:rPr>
            <w:rStyle w:val="Hipercze"/>
            <w:rFonts w:ascii="Times New Roman" w:hAnsi="Times New Roman" w:cs="Times New Roman"/>
            <w:lang w:val="en-US"/>
          </w:rPr>
          <w:t>https://brill.com/display/title/63663</w:t>
        </w:r>
      </w:hyperlink>
      <w:r w:rsidR="003F7B9A">
        <w:rPr>
          <w:rFonts w:ascii="Times New Roman" w:hAnsi="Times New Roman" w:cs="Times New Roman"/>
          <w:lang w:val="en-US"/>
        </w:rPr>
        <w:t>;</w:t>
      </w:r>
      <w:r w:rsidRPr="003F7B9A">
        <w:rPr>
          <w:rFonts w:ascii="Times New Roman" w:hAnsi="Times New Roman" w:cs="Times New Roman"/>
          <w:lang w:val="en-US"/>
        </w:rPr>
        <w:t xml:space="preserve"> </w:t>
      </w:r>
    </w:p>
    <w:p w14:paraId="311D83B2" w14:textId="655A0CF5" w:rsidR="00984611" w:rsidRPr="00E10F53" w:rsidRDefault="00984611" w:rsidP="00E10F5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lang w:val="en-US"/>
        </w:rPr>
      </w:pPr>
      <w:r w:rsidRPr="00E10F53">
        <w:rPr>
          <w:rFonts w:ascii="Times New Roman" w:hAnsi="Times New Roman" w:cs="Times New Roman"/>
          <w:i/>
          <w:iCs/>
          <w:lang w:val="en-US"/>
        </w:rPr>
        <w:t>The Sources of International Law and Legal Obligations of States, and the Normative Hierarchy under the Wimbledon Judgment Or Why ‘Relative Normativity’ Is Intrinsic to the Development of International Law</w:t>
      </w:r>
      <w:r w:rsidRPr="00E10F53">
        <w:rPr>
          <w:rFonts w:ascii="Times New Roman" w:hAnsi="Times New Roman" w:cs="Times New Roman"/>
          <w:lang w:val="en-US"/>
        </w:rPr>
        <w:t xml:space="preserve">, </w:t>
      </w:r>
      <w:r w:rsidRPr="00E10F53">
        <w:rPr>
          <w:rFonts w:ascii="Times New Roman" w:hAnsi="Times New Roman" w:cs="Times New Roman"/>
          <w:lang w:val="en-US"/>
        </w:rPr>
        <w:t>in</w:t>
      </w:r>
      <w:r w:rsidRPr="00E10F53">
        <w:rPr>
          <w:rFonts w:ascii="Times New Roman" w:hAnsi="Times New Roman" w:cs="Times New Roman"/>
          <w:lang w:val="en-US"/>
        </w:rPr>
        <w:t xml:space="preserve">: Roman Kwiecień, Malgosia Fitzmaurice (eds.), </w:t>
      </w:r>
      <w:r w:rsidRPr="00E10F53">
        <w:rPr>
          <w:rFonts w:ascii="Times New Roman" w:hAnsi="Times New Roman" w:cs="Times New Roman"/>
          <w:i/>
          <w:iCs/>
          <w:lang w:val="en-US"/>
        </w:rPr>
        <w:t>The Legacy of the Wimbledon Case. Centenary of the First Judgment of the Permanent Court of International Justice</w:t>
      </w:r>
      <w:r w:rsidRPr="00E10F53">
        <w:rPr>
          <w:rFonts w:ascii="Times New Roman" w:hAnsi="Times New Roman" w:cs="Times New Roman"/>
          <w:lang w:val="en-US"/>
        </w:rPr>
        <w:t>, Brill/</w:t>
      </w:r>
      <w:proofErr w:type="spellStart"/>
      <w:r w:rsidRPr="00E10F53">
        <w:rPr>
          <w:rFonts w:ascii="Times New Roman" w:hAnsi="Times New Roman" w:cs="Times New Roman"/>
          <w:lang w:val="en-US"/>
        </w:rPr>
        <w:t>Nijhoff</w:t>
      </w:r>
      <w:proofErr w:type="spellEnd"/>
      <w:r w:rsidRPr="00E10F53">
        <w:rPr>
          <w:rFonts w:ascii="Times New Roman" w:hAnsi="Times New Roman" w:cs="Times New Roman"/>
          <w:lang w:val="en-US"/>
        </w:rPr>
        <w:t xml:space="preserve">, Leiden-Boston 2025, s. 150-191. </w:t>
      </w:r>
      <w:hyperlink r:id="rId6" w:history="1">
        <w:r w:rsidRPr="00E10F53">
          <w:rPr>
            <w:rStyle w:val="Hipercze"/>
            <w:rFonts w:ascii="Times New Roman" w:hAnsi="Times New Roman" w:cs="Times New Roman"/>
            <w:lang w:val="en-US"/>
          </w:rPr>
          <w:t>https://brill.com/display/book/9789004707979/BP000007.xml?body=pdf-60830</w:t>
        </w:r>
      </w:hyperlink>
      <w:r w:rsidR="003F7B9A">
        <w:rPr>
          <w:rFonts w:ascii="Times New Roman" w:hAnsi="Times New Roman" w:cs="Times New Roman"/>
          <w:lang w:val="en-US"/>
        </w:rPr>
        <w:t>;</w:t>
      </w:r>
    </w:p>
    <w:p w14:paraId="1D84C8A2" w14:textId="291473F1" w:rsidR="00984611" w:rsidRPr="00E10F53" w:rsidRDefault="00984611" w:rsidP="00984611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lang w:val="pl-PL"/>
        </w:rPr>
      </w:pPr>
      <w:r w:rsidRPr="00E10F53">
        <w:rPr>
          <w:rFonts w:ascii="Times New Roman" w:hAnsi="Times New Roman" w:cs="Times New Roman"/>
          <w:i/>
          <w:iCs/>
          <w:lang w:val="pl-PL"/>
        </w:rPr>
        <w:t>Ludwik Ehrlich i jego ‘Prawo narodów’</w:t>
      </w:r>
      <w:r w:rsidRPr="00E10F53">
        <w:rPr>
          <w:rFonts w:ascii="Times New Roman" w:hAnsi="Times New Roman" w:cs="Times New Roman"/>
          <w:lang w:val="pl-PL"/>
        </w:rPr>
        <w:t>, w: Ludwik Ehrlich, Prawo narodów, PISM, Warszawa 2025 [1927], s. 15-39</w:t>
      </w:r>
      <w:r w:rsidR="003F7B9A">
        <w:rPr>
          <w:rFonts w:ascii="Times New Roman" w:hAnsi="Times New Roman" w:cs="Times New Roman"/>
          <w:lang w:val="pl-PL"/>
        </w:rPr>
        <w:t>;</w:t>
      </w:r>
    </w:p>
    <w:p w14:paraId="1C0476AD" w14:textId="5B6F26A8" w:rsidR="00984611" w:rsidRPr="00E10F53" w:rsidRDefault="00984611" w:rsidP="00984611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lang w:val="pl-PL"/>
        </w:rPr>
      </w:pPr>
      <w:r w:rsidRPr="00E10F53">
        <w:rPr>
          <w:rFonts w:ascii="Times New Roman" w:hAnsi="Times New Roman" w:cs="Times New Roman"/>
          <w:i/>
          <w:iCs/>
          <w:lang w:val="pl-PL"/>
        </w:rPr>
        <w:t>Zakaz ludobójstwa jako wspólnotowy interes prawny i jego ochrona przed Międzynarodowym Trybunałem Sprawiedliwości</w:t>
      </w:r>
      <w:r w:rsidRPr="00E10F53">
        <w:rPr>
          <w:rFonts w:ascii="Times New Roman" w:hAnsi="Times New Roman" w:cs="Times New Roman"/>
          <w:lang w:val="pl-PL"/>
        </w:rPr>
        <w:t xml:space="preserve">, „Gdańskie Studia Prawnicze” 2025, nr 1, s. 130-143 </w:t>
      </w:r>
      <w:hyperlink r:id="rId7" w:history="1">
        <w:r w:rsidRPr="00E10F53">
          <w:rPr>
            <w:rStyle w:val="Hipercze"/>
            <w:rFonts w:ascii="Times New Roman" w:hAnsi="Times New Roman" w:cs="Times New Roman"/>
            <w:lang w:val="pl-PL"/>
          </w:rPr>
          <w:t>https://doi.org/10.26881/gsp.2025.1.09</w:t>
        </w:r>
      </w:hyperlink>
      <w:r w:rsidRPr="00E10F53">
        <w:rPr>
          <w:rFonts w:ascii="Times New Roman" w:hAnsi="Times New Roman" w:cs="Times New Roman"/>
          <w:lang w:val="pl-PL"/>
        </w:rPr>
        <w:t xml:space="preserve"> </w:t>
      </w:r>
      <w:r w:rsidR="003F7B9A">
        <w:rPr>
          <w:rFonts w:ascii="Times New Roman" w:hAnsi="Times New Roman" w:cs="Times New Roman"/>
          <w:lang w:val="pl-PL"/>
        </w:rPr>
        <w:t>.</w:t>
      </w:r>
    </w:p>
    <w:p w14:paraId="6753B497" w14:textId="57422DE5" w:rsidR="00984611" w:rsidRPr="00E10F53" w:rsidRDefault="00984611" w:rsidP="00E10F53">
      <w:pPr>
        <w:rPr>
          <w:rFonts w:ascii="Times New Roman" w:hAnsi="Times New Roman" w:cs="Times New Roman"/>
          <w:lang w:val="pl-PL"/>
        </w:rPr>
      </w:pPr>
      <w:r w:rsidRPr="00E10F53">
        <w:rPr>
          <w:rFonts w:ascii="Times New Roman" w:hAnsi="Times New Roman" w:cs="Times New Roman"/>
          <w:lang w:val="pl-PL"/>
        </w:rPr>
        <w:t>2024</w:t>
      </w:r>
    </w:p>
    <w:p w14:paraId="20D84B03" w14:textId="02E30CD0" w:rsidR="00984611" w:rsidRPr="00984611" w:rsidRDefault="00984611" w:rsidP="00F505EE">
      <w:pPr>
        <w:jc w:val="both"/>
        <w:rPr>
          <w:rFonts w:ascii="Times New Roman" w:hAnsi="Times New Roman" w:cs="Times New Roman"/>
          <w:i/>
          <w:iCs/>
          <w:lang w:val="pl-PL"/>
        </w:rPr>
      </w:pPr>
      <w:r w:rsidRPr="00E10F53">
        <w:rPr>
          <w:rFonts w:ascii="Times New Roman" w:hAnsi="Times New Roman" w:cs="Times New Roman"/>
          <w:lang w:val="pl-PL"/>
        </w:rPr>
        <w:t xml:space="preserve">1. </w:t>
      </w:r>
      <w:r w:rsidRPr="00984611">
        <w:rPr>
          <w:rFonts w:ascii="Times New Roman" w:hAnsi="Times New Roman" w:cs="Times New Roman"/>
          <w:i/>
          <w:iCs/>
          <w:lang w:val="pl-PL"/>
        </w:rPr>
        <w:t>Charakterystyka zakazu ludobójstwa w świetle prawa międzynarodowego: jego źródło formalnoprawne i konsekwencje naruszeń w stosunkach międzypaństwowych</w:t>
      </w:r>
      <w:r w:rsidRPr="00984611">
        <w:rPr>
          <w:rFonts w:ascii="Times New Roman" w:hAnsi="Times New Roman" w:cs="Times New Roman"/>
          <w:lang w:val="pl-PL"/>
        </w:rPr>
        <w:t xml:space="preserve">, w: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Hominum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 causa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omne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ius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constitutum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 sit. Księga jubileuszowa Profesora Piotra Hofmańskiego</w:t>
      </w:r>
      <w:r w:rsidRPr="00984611">
        <w:rPr>
          <w:rFonts w:ascii="Times New Roman" w:hAnsi="Times New Roman" w:cs="Times New Roman"/>
          <w:lang w:val="pl-PL"/>
        </w:rPr>
        <w:t>, red. P. Czarnecki, S. Głogowska, A. Górski, A. Sakowicz, A. Światłowski, Wolters Kluwer, Warszawa 2024, s. 651-660</w:t>
      </w:r>
      <w:r w:rsidR="003F7B9A">
        <w:rPr>
          <w:rFonts w:ascii="Times New Roman" w:hAnsi="Times New Roman" w:cs="Times New Roman"/>
          <w:lang w:val="pl-PL"/>
        </w:rPr>
        <w:t>;</w:t>
      </w:r>
    </w:p>
    <w:p w14:paraId="24C27D18" w14:textId="332D9777" w:rsidR="00984611" w:rsidRPr="00E10F53" w:rsidRDefault="00984611" w:rsidP="00F505EE">
      <w:pPr>
        <w:jc w:val="both"/>
        <w:rPr>
          <w:rFonts w:ascii="Times New Roman" w:hAnsi="Times New Roman" w:cs="Times New Roman"/>
          <w:lang w:val="pl-PL"/>
        </w:rPr>
      </w:pPr>
      <w:r w:rsidRPr="00E10F53">
        <w:rPr>
          <w:rFonts w:ascii="Times New Roman" w:hAnsi="Times New Roman" w:cs="Times New Roman"/>
          <w:lang w:val="pl-PL"/>
        </w:rPr>
        <w:t xml:space="preserve">2. </w:t>
      </w:r>
      <w:r w:rsidRPr="00984611">
        <w:rPr>
          <w:rFonts w:ascii="Times New Roman" w:hAnsi="Times New Roman" w:cs="Times New Roman"/>
          <w:i/>
          <w:iCs/>
          <w:lang w:val="pl-PL"/>
        </w:rPr>
        <w:t>Źródła formalne prawa międzynarodowego praw człowieka: traktaty, zwyczaj czy ogólne zasady prawa?</w:t>
      </w:r>
      <w:r w:rsidRPr="00984611">
        <w:rPr>
          <w:rFonts w:ascii="Times New Roman" w:hAnsi="Times New Roman" w:cs="Times New Roman"/>
          <w:lang w:val="pl-PL"/>
        </w:rPr>
        <w:t xml:space="preserve">, w: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Euphony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,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Harmony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 and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Dissonance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 in the International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Legal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 Order/Eufonia, harmonia i dysonans w międzynarodowym porządku prawnym/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Euphonie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, harmonie et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dissonance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dans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l'ordre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juridique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international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. Liber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Amicorum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 Władysław Czapliński</w:t>
      </w:r>
      <w:r w:rsidRPr="00984611">
        <w:rPr>
          <w:rFonts w:ascii="Times New Roman" w:hAnsi="Times New Roman" w:cs="Times New Roman"/>
          <w:lang w:val="pl-PL"/>
        </w:rPr>
        <w:t>, red. Krystyna Kowalik-Bańczyk, Karolina Wierczyńska,  Andrzej Jakubowski, Wydawnictwo Instytutu Nauk Prawnych PAN, Warszawa 2024, s. 281-295</w:t>
      </w:r>
      <w:r w:rsidR="003F7B9A">
        <w:rPr>
          <w:rFonts w:ascii="Times New Roman" w:hAnsi="Times New Roman" w:cs="Times New Roman"/>
          <w:lang w:val="pl-PL"/>
        </w:rPr>
        <w:t>;</w:t>
      </w:r>
    </w:p>
    <w:p w14:paraId="2889BC56" w14:textId="6E76BC78" w:rsidR="00F505EE" w:rsidRPr="00E10F53" w:rsidRDefault="00F505EE" w:rsidP="00F505EE">
      <w:pPr>
        <w:jc w:val="both"/>
        <w:rPr>
          <w:rFonts w:ascii="Times New Roman" w:hAnsi="Times New Roman" w:cs="Times New Roman"/>
          <w:i/>
          <w:iCs/>
          <w:lang w:val="pl-PL"/>
        </w:rPr>
      </w:pPr>
      <w:r w:rsidRPr="00E10F53">
        <w:rPr>
          <w:rFonts w:ascii="Times New Roman" w:hAnsi="Times New Roman" w:cs="Times New Roman"/>
          <w:lang w:val="pl-PL"/>
        </w:rPr>
        <w:t xml:space="preserve">3. </w:t>
      </w:r>
      <w:r w:rsidRPr="00E10F53">
        <w:rPr>
          <w:rFonts w:ascii="Times New Roman" w:hAnsi="Times New Roman" w:cs="Times New Roman"/>
          <w:i/>
          <w:iCs/>
          <w:lang w:val="pl-PL"/>
        </w:rPr>
        <w:t>Jakiej filozofii prawa potrzebują prawnicy rozstrzygający dylematy związane z używaniem siły zbrojnej z motywów humanitarnych?</w:t>
      </w:r>
      <w:r w:rsidRPr="00E10F53">
        <w:rPr>
          <w:rFonts w:ascii="Times New Roman" w:hAnsi="Times New Roman" w:cs="Times New Roman"/>
          <w:lang w:val="pl-PL"/>
        </w:rPr>
        <w:t xml:space="preserve"> w: </w:t>
      </w:r>
      <w:r w:rsidRPr="00E10F53">
        <w:rPr>
          <w:rFonts w:ascii="Times New Roman" w:hAnsi="Times New Roman" w:cs="Times New Roman"/>
          <w:i/>
          <w:iCs/>
          <w:lang w:val="pl-PL"/>
        </w:rPr>
        <w:t xml:space="preserve">Ad </w:t>
      </w:r>
      <w:proofErr w:type="spellStart"/>
      <w:r w:rsidRPr="00E10F53">
        <w:rPr>
          <w:rFonts w:ascii="Times New Roman" w:hAnsi="Times New Roman" w:cs="Times New Roman"/>
          <w:i/>
          <w:iCs/>
          <w:lang w:val="pl-PL"/>
        </w:rPr>
        <w:t>quem</w:t>
      </w:r>
      <w:proofErr w:type="spellEnd"/>
      <w:r w:rsidRPr="00E10F53">
        <w:rPr>
          <w:rFonts w:ascii="Times New Roman" w:hAnsi="Times New Roman" w:cs="Times New Roman"/>
          <w:i/>
          <w:iCs/>
          <w:lang w:val="pl-PL"/>
        </w:rPr>
        <w:t>. Księga jubileuszowa z okazji 70. urodzin Profesora Jerzego Zajadło</w:t>
      </w:r>
      <w:r w:rsidRPr="00E10F53">
        <w:rPr>
          <w:rFonts w:ascii="Times New Roman" w:hAnsi="Times New Roman" w:cs="Times New Roman"/>
          <w:lang w:val="pl-PL"/>
        </w:rPr>
        <w:t xml:space="preserve">, red. Kamil </w:t>
      </w:r>
      <w:proofErr w:type="spellStart"/>
      <w:r w:rsidRPr="00E10F53">
        <w:rPr>
          <w:rFonts w:ascii="Times New Roman" w:hAnsi="Times New Roman" w:cs="Times New Roman"/>
          <w:lang w:val="pl-PL"/>
        </w:rPr>
        <w:t>Zeidler</w:t>
      </w:r>
      <w:proofErr w:type="spellEnd"/>
      <w:r w:rsidRPr="00E10F53">
        <w:rPr>
          <w:rFonts w:ascii="Times New Roman" w:hAnsi="Times New Roman" w:cs="Times New Roman"/>
          <w:lang w:val="pl-PL"/>
        </w:rPr>
        <w:t xml:space="preserve">, Sebastian </w:t>
      </w:r>
      <w:proofErr w:type="spellStart"/>
      <w:r w:rsidRPr="00E10F53">
        <w:rPr>
          <w:rFonts w:ascii="Times New Roman" w:hAnsi="Times New Roman" w:cs="Times New Roman"/>
          <w:lang w:val="pl-PL"/>
        </w:rPr>
        <w:t>Sykuna</w:t>
      </w:r>
      <w:proofErr w:type="spellEnd"/>
      <w:r w:rsidRPr="00E10F53">
        <w:rPr>
          <w:rFonts w:ascii="Times New Roman" w:hAnsi="Times New Roman" w:cs="Times New Roman"/>
          <w:lang w:val="pl-PL"/>
        </w:rPr>
        <w:t>, Joanna Kamień, Wydawnictwo Uniwersytetu Gdańskiego, Wolters Kluwer, Gdańsk-Warszawa 2024, s. 407-420</w:t>
      </w:r>
      <w:r w:rsidR="003F7B9A">
        <w:rPr>
          <w:rFonts w:ascii="Times New Roman" w:hAnsi="Times New Roman" w:cs="Times New Roman"/>
          <w:lang w:val="pl-PL"/>
        </w:rPr>
        <w:t>;</w:t>
      </w:r>
    </w:p>
    <w:p w14:paraId="32C2CA69" w14:textId="473EAEE1" w:rsidR="00F505EE" w:rsidRPr="00E10F53" w:rsidRDefault="00F505EE" w:rsidP="00F505EE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E10F53">
        <w:rPr>
          <w:rFonts w:ascii="Times New Roman" w:hAnsi="Times New Roman" w:cs="Times New Roman"/>
          <w:lang w:val="en-US"/>
        </w:rPr>
        <w:t>4.</w:t>
      </w:r>
      <w:r w:rsidRPr="00E10F53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 </w:t>
      </w:r>
      <w:r w:rsidRPr="00E10F53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Reflections on the Role of Fairness for the Sources of International Law</w:t>
      </w:r>
      <w:r w:rsidRPr="00E10F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“International Community Law Review” 2024, vol. 26, s. 476–500 (as a working paper published in </w:t>
      </w:r>
      <w:r w:rsidRPr="00E10F53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Reflections on the Role of Fairness for the Sources of international Law</w:t>
      </w:r>
      <w:r w:rsidRPr="00E10F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Working Paper, European Society of International Law Paper Series, 2024/11, </w:t>
      </w:r>
      <w:hyperlink r:id="rId8" w:history="1">
        <w:r w:rsidRPr="00E10F53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US"/>
            <w14:ligatures w14:val="none"/>
          </w:rPr>
          <w:t>Reflections on the role of fairness for the sources of international law (eu</w:t>
        </w:r>
        <w:r w:rsidRPr="00E10F53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US"/>
            <w14:ligatures w14:val="none"/>
          </w:rPr>
          <w:t>i</w:t>
        </w:r>
        <w:r w:rsidRPr="00E10F53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US"/>
            <w14:ligatures w14:val="none"/>
          </w:rPr>
          <w:t>.eu)</w:t>
        </w:r>
      </w:hyperlink>
      <w:r w:rsidRPr="00E10F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)</w:t>
      </w:r>
      <w:r w:rsidR="003F7B9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;</w:t>
      </w:r>
    </w:p>
    <w:p w14:paraId="08327850" w14:textId="77C7CE35" w:rsidR="00F505EE" w:rsidRPr="003F7B9A" w:rsidRDefault="00F505EE" w:rsidP="00F505EE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E10F53">
        <w:rPr>
          <w:rFonts w:ascii="Times New Roman" w:hAnsi="Times New Roman" w:cs="Times New Roman"/>
          <w:lang w:val="en-US"/>
        </w:rPr>
        <w:t xml:space="preserve">5. </w:t>
      </w:r>
      <w:r w:rsidRPr="00E10F53">
        <w:rPr>
          <w:rFonts w:ascii="Times New Roman" w:hAnsi="Times New Roman" w:cs="Times New Roman"/>
          <w:i/>
          <w:iCs/>
          <w:lang w:val="en-US"/>
        </w:rPr>
        <w:t>OSCE Court of Conciliation and Arbitration (CCA)</w:t>
      </w:r>
      <w:r w:rsidRPr="00E10F53">
        <w:rPr>
          <w:rFonts w:ascii="Times New Roman" w:hAnsi="Times New Roman" w:cs="Times New Roman"/>
          <w:lang w:val="en-US"/>
        </w:rPr>
        <w:t xml:space="preserve"> In: </w:t>
      </w:r>
      <w:r w:rsidRPr="00E10F53">
        <w:rPr>
          <w:rFonts w:ascii="Times New Roman" w:hAnsi="Times New Roman" w:cs="Times New Roman"/>
          <w:i/>
          <w:iCs/>
          <w:lang w:val="en-US"/>
        </w:rPr>
        <w:t>The Global Community Yearbook of International Law and Jurisprudence</w:t>
      </w:r>
      <w:r w:rsidRPr="00E10F53">
        <w:rPr>
          <w:rFonts w:ascii="Times New Roman" w:hAnsi="Times New Roman" w:cs="Times New Roman"/>
          <w:lang w:val="en-US"/>
        </w:rPr>
        <w:t xml:space="preserve"> </w:t>
      </w:r>
      <w:r w:rsidRPr="00E10F53">
        <w:rPr>
          <w:rFonts w:ascii="Times New Roman" w:hAnsi="Times New Roman" w:cs="Times New Roman"/>
          <w:i/>
          <w:iCs/>
          <w:lang w:val="en-US"/>
        </w:rPr>
        <w:t>2023</w:t>
      </w:r>
      <w:r w:rsidRPr="00E10F53">
        <w:rPr>
          <w:rFonts w:ascii="Times New Roman" w:hAnsi="Times New Roman" w:cs="Times New Roman"/>
          <w:lang w:val="en-US"/>
        </w:rPr>
        <w:t>, edited by Giuliana Ziccardi Capaldo, Oxford University Press 2024, s. 705-714; DOI: 10.1093/</w:t>
      </w:r>
      <w:proofErr w:type="spellStart"/>
      <w:r w:rsidRPr="00E10F53">
        <w:rPr>
          <w:rFonts w:ascii="Times New Roman" w:hAnsi="Times New Roman" w:cs="Times New Roman"/>
          <w:lang w:val="en-US"/>
        </w:rPr>
        <w:t>oso</w:t>
      </w:r>
      <w:proofErr w:type="spellEnd"/>
      <w:r w:rsidRPr="00E10F53">
        <w:rPr>
          <w:rFonts w:ascii="Times New Roman" w:hAnsi="Times New Roman" w:cs="Times New Roman"/>
          <w:lang w:val="en-US"/>
        </w:rPr>
        <w:t>/ 9780197795392.003.0033</w:t>
      </w:r>
      <w:r w:rsidR="003F7B9A">
        <w:rPr>
          <w:rFonts w:ascii="Times New Roman" w:hAnsi="Times New Roman" w:cs="Times New Roman"/>
          <w:lang w:val="en-US"/>
        </w:rPr>
        <w:t>.</w:t>
      </w:r>
      <w:r w:rsidRPr="00E10F53">
        <w:rPr>
          <w:rFonts w:ascii="Times New Roman" w:hAnsi="Times New Roman" w:cs="Times New Roman"/>
          <w:lang w:val="en-US"/>
        </w:rPr>
        <w:t xml:space="preserve"> </w:t>
      </w:r>
    </w:p>
    <w:p w14:paraId="13CC3BA4" w14:textId="33830132" w:rsidR="00F505EE" w:rsidRDefault="00E10F53" w:rsidP="00E10F5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2023</w:t>
      </w:r>
    </w:p>
    <w:p w14:paraId="122092E5" w14:textId="77777777" w:rsidR="003F7B9A" w:rsidRPr="00E10F53" w:rsidRDefault="003F7B9A" w:rsidP="00E10F5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0745D16D" w14:textId="40C83358" w:rsidR="00F505EE" w:rsidRPr="003F7B9A" w:rsidRDefault="003F7B9A" w:rsidP="003F7B9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1. </w:t>
      </w:r>
      <w:r w:rsidR="00F505EE" w:rsidRPr="003F7B9A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The Formal Sources of International Law, the Relationship between Treaties and Custom, and the International Law-Making Process</w:t>
      </w:r>
      <w:r w:rsidR="00F505EE" w:rsidRPr="003F7B9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 “Australian Year Book of International Law”, vol. 40, s. 46-66.</w:t>
      </w:r>
    </w:p>
    <w:p w14:paraId="77C1D2DB" w14:textId="1C7FF148" w:rsidR="00F505EE" w:rsidRDefault="00F505EE" w:rsidP="00F505EE">
      <w:pPr>
        <w:jc w:val="both"/>
        <w:rPr>
          <w:rFonts w:ascii="Times New Roman" w:hAnsi="Times New Roman" w:cs="Times New Roman"/>
          <w:lang w:val="en-US"/>
        </w:rPr>
      </w:pPr>
    </w:p>
    <w:p w14:paraId="005CED2A" w14:textId="77777777" w:rsidR="003F7B9A" w:rsidRPr="00E10F53" w:rsidRDefault="003F7B9A" w:rsidP="00F505EE">
      <w:pPr>
        <w:jc w:val="both"/>
        <w:rPr>
          <w:rFonts w:ascii="Times New Roman" w:hAnsi="Times New Roman" w:cs="Times New Roman"/>
          <w:lang w:val="en-US"/>
        </w:rPr>
      </w:pPr>
    </w:p>
    <w:p w14:paraId="1A24D204" w14:textId="3B22CB28" w:rsidR="00F505EE" w:rsidRPr="003F7B9A" w:rsidRDefault="00F505EE" w:rsidP="00F505EE">
      <w:pPr>
        <w:jc w:val="both"/>
        <w:rPr>
          <w:rFonts w:ascii="Times New Roman" w:hAnsi="Times New Roman" w:cs="Times New Roman"/>
          <w:lang w:val="pl-PL"/>
        </w:rPr>
      </w:pPr>
      <w:r w:rsidRPr="003F7B9A">
        <w:rPr>
          <w:rFonts w:ascii="Times New Roman" w:hAnsi="Times New Roman" w:cs="Times New Roman"/>
          <w:lang w:val="pl-PL"/>
        </w:rPr>
        <w:lastRenderedPageBreak/>
        <w:t>2022</w:t>
      </w:r>
    </w:p>
    <w:p w14:paraId="7B6FDF19" w14:textId="4DAA90BF" w:rsidR="00984611" w:rsidRPr="003F7B9A" w:rsidRDefault="003F7B9A" w:rsidP="003F7B9A">
      <w:pPr>
        <w:jc w:val="both"/>
        <w:rPr>
          <w:rFonts w:ascii="Times New Roman" w:hAnsi="Times New Roman" w:cs="Times New Roman"/>
          <w:i/>
          <w:iCs/>
          <w:lang w:val="pl-PL"/>
        </w:rPr>
      </w:pPr>
      <w:r>
        <w:rPr>
          <w:rFonts w:ascii="Times New Roman" w:hAnsi="Times New Roman" w:cs="Times New Roman"/>
          <w:lang w:val="pl-PL"/>
        </w:rPr>
        <w:t xml:space="preserve">1. </w:t>
      </w:r>
      <w:r w:rsidR="00984611" w:rsidRPr="003F7B9A">
        <w:rPr>
          <w:rFonts w:ascii="Times New Roman" w:hAnsi="Times New Roman" w:cs="Times New Roman"/>
          <w:i/>
          <w:iCs/>
          <w:lang w:val="pl-PL"/>
        </w:rPr>
        <w:t xml:space="preserve">Otwarcie prawa krajowego na prawo międzynarodowe, źródłowy sens i rola </w:t>
      </w:r>
      <w:proofErr w:type="spellStart"/>
      <w:r w:rsidR="00984611" w:rsidRPr="003F7B9A">
        <w:rPr>
          <w:rFonts w:ascii="Times New Roman" w:hAnsi="Times New Roman" w:cs="Times New Roman"/>
          <w:lang w:val="pl-PL"/>
        </w:rPr>
        <w:t>rule</w:t>
      </w:r>
      <w:proofErr w:type="spellEnd"/>
      <w:r w:rsidR="00984611" w:rsidRPr="003F7B9A">
        <w:rPr>
          <w:rFonts w:ascii="Times New Roman" w:hAnsi="Times New Roman" w:cs="Times New Roman"/>
          <w:lang w:val="pl-PL"/>
        </w:rPr>
        <w:t xml:space="preserve"> of law</w:t>
      </w:r>
      <w:r w:rsidR="00984611" w:rsidRPr="003F7B9A">
        <w:rPr>
          <w:rFonts w:ascii="Times New Roman" w:hAnsi="Times New Roman" w:cs="Times New Roman"/>
          <w:i/>
          <w:iCs/>
          <w:lang w:val="pl-PL"/>
        </w:rPr>
        <w:t xml:space="preserve"> a kontrowersja monizm–dualizm</w:t>
      </w:r>
      <w:r w:rsidR="00984611" w:rsidRPr="003F7B9A">
        <w:rPr>
          <w:rFonts w:ascii="Times New Roman" w:hAnsi="Times New Roman" w:cs="Times New Roman"/>
          <w:lang w:val="pl-PL"/>
        </w:rPr>
        <w:t xml:space="preserve">, w: </w:t>
      </w:r>
      <w:r w:rsidR="00984611" w:rsidRPr="003F7B9A">
        <w:rPr>
          <w:rFonts w:ascii="Times New Roman" w:hAnsi="Times New Roman" w:cs="Times New Roman"/>
          <w:i/>
          <w:iCs/>
          <w:lang w:val="pl-PL"/>
        </w:rPr>
        <w:t>Rządy prawa jako wartość uniwersalna. Księga jubileuszowa Profesora Krzysztofa Wójtowicza</w:t>
      </w:r>
      <w:r w:rsidR="00984611" w:rsidRPr="003F7B9A">
        <w:rPr>
          <w:rFonts w:ascii="Times New Roman" w:hAnsi="Times New Roman" w:cs="Times New Roman"/>
          <w:lang w:val="pl-PL"/>
        </w:rPr>
        <w:t xml:space="preserve">, red. A. Kozłowski, Wydawnictwo Uniwersytetu Wrocławskiego, Wrocław 2022, s. 373-393, </w:t>
      </w:r>
      <w:hyperlink r:id="rId9" w:history="1">
        <w:r w:rsidR="00984611" w:rsidRPr="003F7B9A">
          <w:rPr>
            <w:rStyle w:val="Hipercze"/>
            <w:rFonts w:ascii="Times New Roman" w:hAnsi="Times New Roman" w:cs="Times New Roman"/>
            <w:lang w:val="pl-PL"/>
          </w:rPr>
          <w:t xml:space="preserve">Otwarcie prawa krajowego na prawo międzynarodowe, źródłowy sens i rola </w:t>
        </w:r>
        <w:proofErr w:type="spellStart"/>
        <w:r w:rsidR="00984611" w:rsidRPr="003F7B9A">
          <w:rPr>
            <w:rStyle w:val="Hipercze"/>
            <w:rFonts w:ascii="Times New Roman" w:hAnsi="Times New Roman" w:cs="Times New Roman"/>
            <w:lang w:val="pl-PL"/>
          </w:rPr>
          <w:t>rule</w:t>
        </w:r>
        <w:proofErr w:type="spellEnd"/>
        <w:r w:rsidR="00984611" w:rsidRPr="003F7B9A">
          <w:rPr>
            <w:rStyle w:val="Hipercze"/>
            <w:rFonts w:ascii="Times New Roman" w:hAnsi="Times New Roman" w:cs="Times New Roman"/>
            <w:lang w:val="pl-PL"/>
          </w:rPr>
          <w:t xml:space="preserve"> of law a kontrowersja monizm–dualizm (uni.wroc.</w:t>
        </w:r>
        <w:r w:rsidR="00984611" w:rsidRPr="003F7B9A">
          <w:rPr>
            <w:rStyle w:val="Hipercze"/>
            <w:rFonts w:ascii="Times New Roman" w:hAnsi="Times New Roman" w:cs="Times New Roman"/>
            <w:lang w:val="pl-PL"/>
          </w:rPr>
          <w:t>p</w:t>
        </w:r>
        <w:r w:rsidR="00984611" w:rsidRPr="003F7B9A">
          <w:rPr>
            <w:rStyle w:val="Hipercze"/>
            <w:rFonts w:ascii="Times New Roman" w:hAnsi="Times New Roman" w:cs="Times New Roman"/>
            <w:lang w:val="pl-PL"/>
          </w:rPr>
          <w:t>l)</w:t>
        </w:r>
      </w:hyperlink>
      <w:r>
        <w:rPr>
          <w:rFonts w:ascii="Times New Roman" w:hAnsi="Times New Roman" w:cs="Times New Roman"/>
          <w:lang w:val="pl-PL"/>
        </w:rPr>
        <w:t>;</w:t>
      </w:r>
    </w:p>
    <w:p w14:paraId="06A6B810" w14:textId="237FC57B" w:rsidR="00E10F53" w:rsidRPr="00E10F53" w:rsidRDefault="003F7B9A" w:rsidP="003F7B9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E10F53" w:rsidRPr="00E10F53">
        <w:rPr>
          <w:rFonts w:ascii="Times New Roman" w:hAnsi="Times New Roman" w:cs="Times New Roman"/>
          <w:i/>
          <w:iCs/>
        </w:rPr>
        <w:t>The Aggression of the Russian Federation against Ukraine: International Law and Power Politics or ‘What Happens Now’</w:t>
      </w:r>
      <w:r w:rsidR="00E10F53" w:rsidRPr="00E10F53">
        <w:rPr>
          <w:rFonts w:ascii="Times New Roman" w:hAnsi="Times New Roman" w:cs="Times New Roman"/>
        </w:rPr>
        <w:t xml:space="preserve">, “Polish Review of International and European Law” 2022, vol. 11, no. 1, s. 9-21, </w:t>
      </w:r>
      <w:hyperlink r:id="rId10" w:history="1">
        <w:r w:rsidR="00E10F53" w:rsidRPr="00E10F53">
          <w:rPr>
            <w:rStyle w:val="Hipercze"/>
            <w:rFonts w:ascii="Times New Roman" w:hAnsi="Times New Roman" w:cs="Times New Roman"/>
          </w:rPr>
          <w:t>https://doi.org/</w:t>
        </w:r>
        <w:r w:rsidR="00E10F53" w:rsidRPr="00E10F53">
          <w:rPr>
            <w:rStyle w:val="Hipercze"/>
            <w:rFonts w:ascii="Times New Roman" w:hAnsi="Times New Roman" w:cs="Times New Roman"/>
          </w:rPr>
          <w:t>1</w:t>
        </w:r>
        <w:r w:rsidR="00E10F53" w:rsidRPr="00E10F53">
          <w:rPr>
            <w:rStyle w:val="Hipercze"/>
            <w:rFonts w:ascii="Times New Roman" w:hAnsi="Times New Roman" w:cs="Times New Roman"/>
          </w:rPr>
          <w:t>0.21697/2022.11.1.01</w:t>
        </w:r>
      </w:hyperlink>
      <w:r w:rsidR="00E10F53" w:rsidRPr="00E10F53">
        <w:rPr>
          <w:rFonts w:ascii="Times New Roman" w:hAnsi="Times New Roman" w:cs="Times New Roman"/>
        </w:rPr>
        <w:t>;</w:t>
      </w:r>
    </w:p>
    <w:p w14:paraId="39CDBECC" w14:textId="080322AD" w:rsidR="00E10F53" w:rsidRPr="00E10F53" w:rsidRDefault="003F7B9A" w:rsidP="003F7B9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</w:rPr>
        <w:t xml:space="preserve">3. </w:t>
      </w:r>
      <w:r w:rsidR="00E10F53" w:rsidRPr="00E10F53">
        <w:rPr>
          <w:rFonts w:ascii="Times New Roman" w:hAnsi="Times New Roman" w:cs="Times New Roman"/>
          <w:i/>
          <w:iCs/>
        </w:rPr>
        <w:t>Aggression and Responsibility Under International Law – A Case of the Aggression of the Russian Federation Against Ukraine</w:t>
      </w:r>
      <w:r w:rsidR="00E10F53" w:rsidRPr="00E10F53">
        <w:rPr>
          <w:rFonts w:ascii="Times New Roman" w:hAnsi="Times New Roman" w:cs="Times New Roman"/>
        </w:rPr>
        <w:t>, “</w:t>
      </w:r>
      <w:proofErr w:type="spellStart"/>
      <w:r w:rsidR="00E10F53" w:rsidRPr="00E10F53">
        <w:rPr>
          <w:rFonts w:ascii="Times New Roman" w:hAnsi="Times New Roman" w:cs="Times New Roman"/>
        </w:rPr>
        <w:t>Osteuropa</w:t>
      </w:r>
      <w:proofErr w:type="spellEnd"/>
      <w:r w:rsidR="00E10F53" w:rsidRPr="00E10F53">
        <w:rPr>
          <w:rFonts w:ascii="Times New Roman" w:hAnsi="Times New Roman" w:cs="Times New Roman"/>
        </w:rPr>
        <w:t>-Recht” 2022, Heft 2, s. 201-213; DOI:</w:t>
      </w:r>
      <w:r w:rsidR="00E10F53" w:rsidRPr="00E10F53">
        <w:rPr>
          <w:rFonts w:ascii="Times New Roman" w:hAnsi="Times New Roman" w:cs="Times New Roman"/>
          <w:shd w:val="clear" w:color="auto" w:fill="FFFFFF"/>
        </w:rPr>
        <w:t xml:space="preserve">10.5771/0030-6444-2022-2-201; </w:t>
      </w:r>
      <w:hyperlink r:id="rId11" w:history="1">
        <w:r w:rsidR="00E10F53" w:rsidRPr="00E10F53">
          <w:rPr>
            <w:rStyle w:val="Hipercze"/>
            <w:rFonts w:ascii="Times New Roman" w:hAnsi="Times New Roman" w:cs="Times New Roman"/>
            <w:shd w:val="clear" w:color="auto" w:fill="FFFFFF"/>
          </w:rPr>
          <w:t>https://www.nomos-elibrary.de/10.5771/0030-6444-2022-2-201/aggression-and-responsibility-under-international-law-a-case-of-the-aggression-of-</w:t>
        </w:r>
        <w:r w:rsidR="00E10F53" w:rsidRPr="00E10F53">
          <w:rPr>
            <w:rStyle w:val="Hipercze"/>
            <w:rFonts w:ascii="Times New Roman" w:hAnsi="Times New Roman" w:cs="Times New Roman"/>
            <w:shd w:val="clear" w:color="auto" w:fill="FFFFFF"/>
          </w:rPr>
          <w:t>t</w:t>
        </w:r>
        <w:r w:rsidR="00E10F53" w:rsidRPr="00E10F53">
          <w:rPr>
            <w:rStyle w:val="Hipercze"/>
            <w:rFonts w:ascii="Times New Roman" w:hAnsi="Times New Roman" w:cs="Times New Roman"/>
            <w:shd w:val="clear" w:color="auto" w:fill="FFFFFF"/>
          </w:rPr>
          <w:t>he-ru</w:t>
        </w:r>
        <w:r w:rsidR="00E10F53" w:rsidRPr="00E10F53">
          <w:rPr>
            <w:rStyle w:val="Hipercze"/>
            <w:rFonts w:ascii="Times New Roman" w:hAnsi="Times New Roman" w:cs="Times New Roman"/>
            <w:shd w:val="clear" w:color="auto" w:fill="FFFFFF"/>
          </w:rPr>
          <w:t>s</w:t>
        </w:r>
        <w:r w:rsidR="00E10F53" w:rsidRPr="00E10F53">
          <w:rPr>
            <w:rStyle w:val="Hipercze"/>
            <w:rFonts w:ascii="Times New Roman" w:hAnsi="Times New Roman" w:cs="Times New Roman"/>
            <w:shd w:val="clear" w:color="auto" w:fill="FFFFFF"/>
          </w:rPr>
          <w:t>sian-federation-aga</w:t>
        </w:r>
      </w:hyperlink>
      <w:r w:rsidR="00E10F53" w:rsidRPr="00E10F53">
        <w:rPr>
          <w:rFonts w:ascii="Times New Roman" w:hAnsi="Times New Roman" w:cs="Times New Roman"/>
          <w:shd w:val="clear" w:color="auto" w:fill="FFFFFF"/>
        </w:rPr>
        <w:t>inst-ukraine-volume-68-2022-issue-2?page=1</w:t>
      </w:r>
      <w:r>
        <w:rPr>
          <w:rFonts w:ascii="Times New Roman" w:hAnsi="Times New Roman" w:cs="Times New Roman"/>
          <w:shd w:val="clear" w:color="auto" w:fill="FFFFFF"/>
        </w:rPr>
        <w:t>;</w:t>
      </w:r>
    </w:p>
    <w:p w14:paraId="79941C5A" w14:textId="2E346DE6" w:rsidR="00E10F53" w:rsidRPr="00E10F53" w:rsidRDefault="003F7B9A" w:rsidP="003F7B9A">
      <w:pPr>
        <w:jc w:val="both"/>
        <w:rPr>
          <w:rFonts w:ascii="Times New Roman" w:hAnsi="Times New Roman" w:cs="Times New Roman"/>
          <w:i/>
          <w:iCs/>
          <w:lang w:val="pl-PL"/>
        </w:rPr>
      </w:pPr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4. </w:t>
      </w:r>
      <w:r w:rsidR="00E10F53" w:rsidRPr="00E10F53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The Space Resource Mining Activities and the Problems of (In)completeness and (Un)certainty of International Space Law: A Critical Overview of the Main Issues</w:t>
      </w:r>
      <w:r w:rsidR="00E10F53" w:rsidRPr="00E10F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 "</w:t>
      </w:r>
      <w:proofErr w:type="spellStart"/>
      <w:r w:rsidR="00E10F53" w:rsidRPr="00E10F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Problemy</w:t>
      </w:r>
      <w:proofErr w:type="spellEnd"/>
      <w:r w:rsidR="00E10F53" w:rsidRPr="00E10F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="00E10F53" w:rsidRPr="00E10F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Współczesnego</w:t>
      </w:r>
      <w:proofErr w:type="spellEnd"/>
      <w:r w:rsidR="00E10F53" w:rsidRPr="00E10F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Prawa </w:t>
      </w:r>
      <w:proofErr w:type="spellStart"/>
      <w:r w:rsidR="00E10F53" w:rsidRPr="00E10F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Międzynarodowego</w:t>
      </w:r>
      <w:proofErr w:type="spellEnd"/>
      <w:r w:rsidR="00E10F53" w:rsidRPr="00E10F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</w:t>
      </w:r>
      <w:proofErr w:type="spellStart"/>
      <w:r w:rsidR="00E10F53" w:rsidRPr="00E10F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Europejskiego</w:t>
      </w:r>
      <w:proofErr w:type="spellEnd"/>
      <w:r w:rsidR="00E10F53" w:rsidRPr="00E10F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="00E10F53" w:rsidRPr="00E10F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</w:t>
      </w:r>
      <w:proofErr w:type="spellEnd"/>
      <w:r w:rsidR="00E10F53" w:rsidRPr="00E10F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="00E10F53" w:rsidRPr="00E10F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Porównawczego</w:t>
      </w:r>
      <w:proofErr w:type="spellEnd"/>
      <w:r w:rsidR="00E10F53" w:rsidRPr="00E10F5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/Review of International, European and Comparative Law” 2022, Vol. </w:t>
      </w:r>
      <w:r w:rsidR="00E10F53" w:rsidRPr="00E10F53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XX, s. 31-54. DOI:10.26106/w5fs-9c13  </w:t>
      </w:r>
      <w:hyperlink r:id="rId12" w:history="1">
        <w:r w:rsidR="00E10F53" w:rsidRPr="00E10F53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pl-PL"/>
            <w14:ligatures w14:val="none"/>
          </w:rPr>
          <w:t>https://europeistyka.uj.edu.pl/documents/3458728/151580249/PWPM_2022_20_0</w:t>
        </w:r>
        <w:r w:rsidR="00E10F53" w:rsidRPr="00E10F53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pl-PL"/>
            <w14:ligatures w14:val="none"/>
          </w:rPr>
          <w:t>2</w:t>
        </w:r>
        <w:r w:rsidR="00E10F53" w:rsidRPr="00E10F53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pl-PL"/>
            <w14:ligatures w14:val="none"/>
          </w:rPr>
          <w:t>_Kwiecien.pdf/4</w:t>
        </w:r>
        <w:r w:rsidR="00E10F53" w:rsidRPr="00E10F53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pl-PL"/>
            <w14:ligatures w14:val="none"/>
          </w:rPr>
          <w:t>c</w:t>
        </w:r>
        <w:r w:rsidR="00E10F53" w:rsidRPr="00E10F53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pl-PL"/>
            <w14:ligatures w14:val="none"/>
          </w:rPr>
          <w:t>d4d6a1-32e8-435a-97d0-83fbe4333209</w:t>
        </w:r>
      </w:hyperlink>
      <w:r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.</w:t>
      </w:r>
    </w:p>
    <w:p w14:paraId="50846590" w14:textId="61CB4456" w:rsidR="00F505EE" w:rsidRPr="00E10F53" w:rsidRDefault="00F505EE" w:rsidP="00F505EE">
      <w:pPr>
        <w:jc w:val="both"/>
        <w:rPr>
          <w:rFonts w:ascii="Times New Roman" w:hAnsi="Times New Roman" w:cs="Times New Roman"/>
          <w:lang w:val="pl-PL"/>
        </w:rPr>
      </w:pPr>
      <w:r w:rsidRPr="00E10F53">
        <w:rPr>
          <w:rFonts w:ascii="Times New Roman" w:hAnsi="Times New Roman" w:cs="Times New Roman"/>
          <w:lang w:val="pl-PL"/>
        </w:rPr>
        <w:t>2021</w:t>
      </w:r>
    </w:p>
    <w:p w14:paraId="5D15AF59" w14:textId="21BB8F8C" w:rsidR="00F505EE" w:rsidRPr="00E10F53" w:rsidRDefault="00F505EE" w:rsidP="00F505EE">
      <w:pPr>
        <w:jc w:val="both"/>
        <w:rPr>
          <w:rFonts w:ascii="Times New Roman" w:hAnsi="Times New Roman" w:cs="Times New Roman"/>
          <w:lang w:val="pl-PL"/>
        </w:rPr>
      </w:pPr>
      <w:r w:rsidRPr="00E10F53">
        <w:rPr>
          <w:rFonts w:ascii="Times New Roman" w:hAnsi="Times New Roman" w:cs="Times New Roman"/>
          <w:lang w:val="pl-PL"/>
        </w:rPr>
        <w:t xml:space="preserve">1. </w:t>
      </w:r>
      <w:r w:rsidRPr="00E10F53">
        <w:rPr>
          <w:rFonts w:ascii="Times New Roman" w:hAnsi="Times New Roman" w:cs="Times New Roman"/>
          <w:i/>
          <w:iCs/>
          <w:lang w:val="pl-PL"/>
        </w:rPr>
        <w:t>“Im więcej traktatu, tym mniej prawa”? Traktaty i zwyczaje a źródła formalne prawa międzynarodowego (przypadek Konwencji wiedeńskiej o prawie traktatów)</w:t>
      </w:r>
      <w:r w:rsidRPr="00E10F53">
        <w:rPr>
          <w:rFonts w:ascii="Times New Roman" w:hAnsi="Times New Roman" w:cs="Times New Roman"/>
          <w:lang w:val="pl-PL"/>
        </w:rPr>
        <w:t>, „Państwo i Prawo” 2021, nr 9, s. 24-43;</w:t>
      </w:r>
    </w:p>
    <w:p w14:paraId="06E08248" w14:textId="159DBAF4" w:rsidR="00E10F53" w:rsidRPr="00984611" w:rsidRDefault="00E10F53" w:rsidP="00E10F53">
      <w:pPr>
        <w:jc w:val="both"/>
        <w:rPr>
          <w:rFonts w:ascii="Times New Roman" w:hAnsi="Times New Roman" w:cs="Times New Roman"/>
          <w:lang w:val="pl-PL"/>
        </w:rPr>
      </w:pPr>
      <w:r w:rsidRPr="00E10F53">
        <w:rPr>
          <w:rFonts w:ascii="Times New Roman" w:hAnsi="Times New Roman" w:cs="Times New Roman"/>
          <w:lang w:val="pl-PL"/>
        </w:rPr>
        <w:t>2.</w:t>
      </w:r>
      <w:r w:rsidRPr="00E10F53">
        <w:rPr>
          <w:rFonts w:ascii="Times New Roman" w:hAnsi="Times New Roman" w:cs="Times New Roman"/>
          <w:i/>
          <w:iCs/>
          <w:lang w:val="pl-PL"/>
        </w:rPr>
        <w:t xml:space="preserve">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Souveraineté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 de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l’État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 et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droit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international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 à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l’époque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du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populisme</w:t>
      </w:r>
      <w:proofErr w:type="spellEnd"/>
      <w:r w:rsidRPr="00984611">
        <w:rPr>
          <w:rFonts w:ascii="Times New Roman" w:hAnsi="Times New Roman" w:cs="Times New Roman"/>
          <w:lang w:val="pl-PL"/>
        </w:rPr>
        <w:t xml:space="preserve">, w: Nicolas </w:t>
      </w:r>
      <w:proofErr w:type="spellStart"/>
      <w:r w:rsidRPr="00984611">
        <w:rPr>
          <w:rFonts w:ascii="Times New Roman" w:hAnsi="Times New Roman" w:cs="Times New Roman"/>
          <w:lang w:val="pl-PL"/>
        </w:rPr>
        <w:t>Haupais</w:t>
      </w:r>
      <w:proofErr w:type="spellEnd"/>
      <w:r w:rsidRPr="00984611">
        <w:rPr>
          <w:rFonts w:ascii="Times New Roman" w:hAnsi="Times New Roman" w:cs="Times New Roman"/>
          <w:lang w:val="pl-PL"/>
        </w:rPr>
        <w:t xml:space="preserve">, Tristan </w:t>
      </w:r>
      <w:proofErr w:type="spellStart"/>
      <w:r w:rsidRPr="00984611">
        <w:rPr>
          <w:rFonts w:ascii="Times New Roman" w:hAnsi="Times New Roman" w:cs="Times New Roman"/>
          <w:lang w:val="pl-PL"/>
        </w:rPr>
        <w:t>Pouthier</w:t>
      </w:r>
      <w:proofErr w:type="spellEnd"/>
      <w:r w:rsidRPr="00984611">
        <w:rPr>
          <w:rFonts w:ascii="Times New Roman" w:hAnsi="Times New Roman" w:cs="Times New Roman"/>
          <w:lang w:val="pl-PL"/>
        </w:rPr>
        <w:t xml:space="preserve">, Piotr </w:t>
      </w:r>
      <w:proofErr w:type="spellStart"/>
      <w:r w:rsidRPr="00984611">
        <w:rPr>
          <w:rFonts w:ascii="Times New Roman" w:hAnsi="Times New Roman" w:cs="Times New Roman"/>
          <w:lang w:val="pl-PL"/>
        </w:rPr>
        <w:t>Szwedo</w:t>
      </w:r>
      <w:proofErr w:type="spellEnd"/>
      <w:r w:rsidRPr="00984611">
        <w:rPr>
          <w:rFonts w:ascii="Times New Roman" w:hAnsi="Times New Roman" w:cs="Times New Roman"/>
          <w:lang w:val="pl-PL"/>
        </w:rPr>
        <w:t>, Wojciech Zagórski (</w:t>
      </w:r>
      <w:proofErr w:type="spellStart"/>
      <w:r w:rsidRPr="00984611">
        <w:rPr>
          <w:rFonts w:ascii="Times New Roman" w:hAnsi="Times New Roman" w:cs="Times New Roman"/>
          <w:lang w:val="pl-PL"/>
        </w:rPr>
        <w:t>eds</w:t>
      </w:r>
      <w:proofErr w:type="spellEnd"/>
      <w:r w:rsidRPr="00984611">
        <w:rPr>
          <w:rFonts w:ascii="Times New Roman" w:hAnsi="Times New Roman" w:cs="Times New Roman"/>
          <w:lang w:val="pl-PL"/>
        </w:rPr>
        <w:t xml:space="preserve">), </w:t>
      </w:r>
      <w:r w:rsidRPr="00984611">
        <w:rPr>
          <w:rFonts w:ascii="Times New Roman" w:hAnsi="Times New Roman" w:cs="Times New Roman"/>
          <w:i/>
          <w:iCs/>
          <w:lang w:val="pl-PL"/>
        </w:rPr>
        <w:t xml:space="preserve">Le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constitutionalisme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 face au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populisme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 en Europe Centrale</w:t>
      </w:r>
      <w:r w:rsidRPr="00984611">
        <w:rPr>
          <w:rFonts w:ascii="Times New Roman" w:hAnsi="Times New Roman" w:cs="Times New Roman"/>
          <w:lang w:val="pl-PL"/>
        </w:rPr>
        <w:t xml:space="preserve">, </w:t>
      </w:r>
      <w:proofErr w:type="spellStart"/>
      <w:r w:rsidRPr="00984611">
        <w:rPr>
          <w:rFonts w:ascii="Times New Roman" w:hAnsi="Times New Roman" w:cs="Times New Roman"/>
          <w:lang w:val="pl-PL"/>
        </w:rPr>
        <w:t>Insitiut</w:t>
      </w:r>
      <w:proofErr w:type="spellEnd"/>
      <w:r w:rsidRPr="00984611">
        <w:rPr>
          <w:rFonts w:ascii="Times New Roman" w:hAnsi="Times New Roman" w:cs="Times New Roman"/>
          <w:lang w:val="pl-PL"/>
        </w:rPr>
        <w:t xml:space="preserve"> </w:t>
      </w:r>
      <w:proofErr w:type="spellStart"/>
      <w:r w:rsidRPr="00984611">
        <w:rPr>
          <w:rFonts w:ascii="Times New Roman" w:hAnsi="Times New Roman" w:cs="Times New Roman"/>
          <w:lang w:val="pl-PL"/>
        </w:rPr>
        <w:t>Francophone</w:t>
      </w:r>
      <w:proofErr w:type="spellEnd"/>
      <w:r w:rsidRPr="00984611">
        <w:rPr>
          <w:rFonts w:ascii="Times New Roman" w:hAnsi="Times New Roman" w:cs="Times New Roman"/>
          <w:lang w:val="pl-PL"/>
        </w:rPr>
        <w:t xml:space="preserve"> </w:t>
      </w:r>
      <w:proofErr w:type="spellStart"/>
      <w:r w:rsidRPr="00984611">
        <w:rPr>
          <w:rFonts w:ascii="Times New Roman" w:hAnsi="Times New Roman" w:cs="Times New Roman"/>
          <w:lang w:val="pl-PL"/>
        </w:rPr>
        <w:t>pour</w:t>
      </w:r>
      <w:proofErr w:type="spellEnd"/>
      <w:r w:rsidRPr="00984611">
        <w:rPr>
          <w:rFonts w:ascii="Times New Roman" w:hAnsi="Times New Roman" w:cs="Times New Roman"/>
          <w:lang w:val="pl-PL"/>
        </w:rPr>
        <w:t xml:space="preserve"> la </w:t>
      </w:r>
      <w:proofErr w:type="spellStart"/>
      <w:r w:rsidRPr="00984611">
        <w:rPr>
          <w:rFonts w:ascii="Times New Roman" w:hAnsi="Times New Roman" w:cs="Times New Roman"/>
          <w:lang w:val="pl-PL"/>
        </w:rPr>
        <w:t>Justice</w:t>
      </w:r>
      <w:proofErr w:type="spellEnd"/>
      <w:r w:rsidRPr="00984611">
        <w:rPr>
          <w:rFonts w:ascii="Times New Roman" w:hAnsi="Times New Roman" w:cs="Times New Roman"/>
          <w:lang w:val="pl-PL"/>
        </w:rPr>
        <w:t xml:space="preserve"> et ta </w:t>
      </w:r>
      <w:proofErr w:type="spellStart"/>
      <w:r w:rsidRPr="00984611">
        <w:rPr>
          <w:rFonts w:ascii="Times New Roman" w:hAnsi="Times New Roman" w:cs="Times New Roman"/>
          <w:lang w:val="pl-PL"/>
        </w:rPr>
        <w:t>Démocratie</w:t>
      </w:r>
      <w:proofErr w:type="spellEnd"/>
      <w:r w:rsidRPr="00984611">
        <w:rPr>
          <w:rFonts w:ascii="Times New Roman" w:hAnsi="Times New Roman" w:cs="Times New Roman"/>
          <w:lang w:val="pl-PL"/>
        </w:rPr>
        <w:t>, Paris 2021, s. 125-146;</w:t>
      </w:r>
    </w:p>
    <w:p w14:paraId="4EE688F1" w14:textId="1C8E75DB" w:rsidR="00984611" w:rsidRPr="00984611" w:rsidRDefault="00E10F53" w:rsidP="00E10F53">
      <w:pPr>
        <w:jc w:val="both"/>
        <w:rPr>
          <w:rFonts w:ascii="Times New Roman" w:hAnsi="Times New Roman" w:cs="Times New Roman"/>
          <w:lang w:val="pl-PL"/>
        </w:rPr>
      </w:pPr>
      <w:r w:rsidRPr="00E10F53">
        <w:rPr>
          <w:rFonts w:ascii="Times New Roman" w:hAnsi="Times New Roman" w:cs="Times New Roman"/>
          <w:lang w:val="pl-PL"/>
        </w:rPr>
        <w:t xml:space="preserve">3. </w:t>
      </w:r>
      <w:r w:rsidRPr="00984611">
        <w:rPr>
          <w:rFonts w:ascii="Times New Roman" w:hAnsi="Times New Roman" w:cs="Times New Roman"/>
          <w:i/>
          <w:iCs/>
          <w:lang w:val="pl-PL"/>
        </w:rPr>
        <w:t>Geopolityka a prawo międzynarodowe</w:t>
      </w:r>
      <w:r w:rsidRPr="00984611">
        <w:rPr>
          <w:rFonts w:ascii="Times New Roman" w:hAnsi="Times New Roman" w:cs="Times New Roman"/>
          <w:lang w:val="pl-PL"/>
        </w:rPr>
        <w:t xml:space="preserve">, w: </w:t>
      </w:r>
      <w:r w:rsidRPr="00984611">
        <w:rPr>
          <w:rFonts w:ascii="Times New Roman" w:hAnsi="Times New Roman" w:cs="Times New Roman"/>
          <w:i/>
          <w:iCs/>
          <w:lang w:val="pl-PL"/>
        </w:rPr>
        <w:t>Słowniki społeczne. Geopolityka</w:t>
      </w:r>
      <w:r w:rsidRPr="00984611">
        <w:rPr>
          <w:rFonts w:ascii="Times New Roman" w:hAnsi="Times New Roman" w:cs="Times New Roman"/>
          <w:lang w:val="pl-PL"/>
        </w:rPr>
        <w:t xml:space="preserve">, red. J. </w:t>
      </w:r>
      <w:proofErr w:type="spellStart"/>
      <w:r w:rsidRPr="00984611">
        <w:rPr>
          <w:rFonts w:ascii="Times New Roman" w:hAnsi="Times New Roman" w:cs="Times New Roman"/>
          <w:lang w:val="pl-PL"/>
        </w:rPr>
        <w:t>Kloczkowski</w:t>
      </w:r>
      <w:proofErr w:type="spellEnd"/>
      <w:r w:rsidRPr="00984611">
        <w:rPr>
          <w:rFonts w:ascii="Times New Roman" w:hAnsi="Times New Roman" w:cs="Times New Roman"/>
          <w:lang w:val="pl-PL"/>
        </w:rPr>
        <w:t xml:space="preserve">, Wydawnictwo Naukowe Akademii </w:t>
      </w:r>
      <w:proofErr w:type="spellStart"/>
      <w:r w:rsidRPr="00984611">
        <w:rPr>
          <w:rFonts w:ascii="Times New Roman" w:hAnsi="Times New Roman" w:cs="Times New Roman"/>
          <w:lang w:val="pl-PL"/>
        </w:rPr>
        <w:t>Ignatianum</w:t>
      </w:r>
      <w:proofErr w:type="spellEnd"/>
      <w:r w:rsidRPr="00984611">
        <w:rPr>
          <w:rFonts w:ascii="Times New Roman" w:hAnsi="Times New Roman" w:cs="Times New Roman"/>
          <w:lang w:val="pl-PL"/>
        </w:rPr>
        <w:t xml:space="preserve"> w Krakowie, Kraków 2021, s. 113-130 [również w j. angielskim: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Geopolitics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 and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international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 law</w:t>
      </w:r>
      <w:r w:rsidRPr="00984611">
        <w:rPr>
          <w:rFonts w:ascii="Times New Roman" w:hAnsi="Times New Roman" w:cs="Times New Roman"/>
          <w:lang w:val="pl-PL"/>
        </w:rPr>
        <w:t xml:space="preserve">, w: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Social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Dictionaries</w:t>
      </w:r>
      <w:proofErr w:type="spellEnd"/>
      <w:r w:rsidRPr="00984611">
        <w:rPr>
          <w:rFonts w:ascii="Times New Roman" w:hAnsi="Times New Roman" w:cs="Times New Roman"/>
          <w:i/>
          <w:iCs/>
          <w:lang w:val="pl-PL"/>
        </w:rPr>
        <w:t xml:space="preserve">. </w:t>
      </w:r>
      <w:proofErr w:type="spellStart"/>
      <w:r w:rsidRPr="00984611">
        <w:rPr>
          <w:rFonts w:ascii="Times New Roman" w:hAnsi="Times New Roman" w:cs="Times New Roman"/>
          <w:i/>
          <w:iCs/>
          <w:lang w:val="pl-PL"/>
        </w:rPr>
        <w:t>Geopolitics</w:t>
      </w:r>
      <w:proofErr w:type="spellEnd"/>
      <w:r w:rsidRPr="00984611">
        <w:rPr>
          <w:rFonts w:ascii="Times New Roman" w:hAnsi="Times New Roman" w:cs="Times New Roman"/>
          <w:lang w:val="pl-PL"/>
        </w:rPr>
        <w:t xml:space="preserve">, J. </w:t>
      </w:r>
      <w:proofErr w:type="spellStart"/>
      <w:r w:rsidRPr="00984611">
        <w:rPr>
          <w:rFonts w:ascii="Times New Roman" w:hAnsi="Times New Roman" w:cs="Times New Roman"/>
          <w:lang w:val="pl-PL"/>
        </w:rPr>
        <w:t>Kloczkowski</w:t>
      </w:r>
      <w:proofErr w:type="spellEnd"/>
      <w:r w:rsidRPr="00984611">
        <w:rPr>
          <w:rFonts w:ascii="Times New Roman" w:hAnsi="Times New Roman" w:cs="Times New Roman"/>
          <w:lang w:val="pl-PL"/>
        </w:rPr>
        <w:t xml:space="preserve"> (ed.), </w:t>
      </w:r>
      <w:proofErr w:type="spellStart"/>
      <w:r w:rsidRPr="00984611">
        <w:rPr>
          <w:rFonts w:ascii="Times New Roman" w:hAnsi="Times New Roman" w:cs="Times New Roman"/>
          <w:lang w:val="pl-PL"/>
        </w:rPr>
        <w:t>Ignatianum</w:t>
      </w:r>
      <w:proofErr w:type="spellEnd"/>
      <w:r w:rsidRPr="00984611">
        <w:rPr>
          <w:rFonts w:ascii="Times New Roman" w:hAnsi="Times New Roman" w:cs="Times New Roman"/>
          <w:lang w:val="pl-PL"/>
        </w:rPr>
        <w:t xml:space="preserve"> University Press, Kraków 2021, s. 113-130</w:t>
      </w:r>
      <w:r>
        <w:rPr>
          <w:rFonts w:ascii="Times New Roman" w:hAnsi="Times New Roman" w:cs="Times New Roman"/>
          <w:lang w:val="pl-PL"/>
        </w:rPr>
        <w:t>.</w:t>
      </w:r>
    </w:p>
    <w:p w14:paraId="6C148056" w14:textId="77777777" w:rsidR="00984611" w:rsidRPr="00984611" w:rsidRDefault="00984611" w:rsidP="00984611">
      <w:pPr>
        <w:ind w:left="360"/>
        <w:rPr>
          <w:rFonts w:ascii="Times New Roman" w:hAnsi="Times New Roman" w:cs="Times New Roman"/>
          <w:lang w:val="pl-PL"/>
        </w:rPr>
      </w:pPr>
    </w:p>
    <w:p w14:paraId="44EE241C" w14:textId="77777777" w:rsidR="00984611" w:rsidRPr="00984611" w:rsidRDefault="00984611">
      <w:pPr>
        <w:rPr>
          <w:rFonts w:ascii="Times New Roman" w:hAnsi="Times New Roman" w:cs="Times New Roman"/>
          <w:lang w:val="pl-PL"/>
        </w:rPr>
      </w:pPr>
    </w:p>
    <w:sectPr w:rsidR="00984611" w:rsidRPr="009846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C470A"/>
    <w:multiLevelType w:val="hybridMultilevel"/>
    <w:tmpl w:val="14929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B542F"/>
    <w:multiLevelType w:val="hybridMultilevel"/>
    <w:tmpl w:val="EF448D82"/>
    <w:lvl w:ilvl="0" w:tplc="3670F9C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D47EA"/>
    <w:multiLevelType w:val="hybridMultilevel"/>
    <w:tmpl w:val="4AC86DFC"/>
    <w:lvl w:ilvl="0" w:tplc="F9DAB96E">
      <w:start w:val="1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35" w:hanging="360"/>
      </w:pPr>
    </w:lvl>
    <w:lvl w:ilvl="2" w:tplc="0415001B" w:tentative="1">
      <w:start w:val="1"/>
      <w:numFmt w:val="lowerRoman"/>
      <w:lvlText w:val="%3."/>
      <w:lvlJc w:val="right"/>
      <w:pPr>
        <w:ind w:left="3255" w:hanging="180"/>
      </w:pPr>
    </w:lvl>
    <w:lvl w:ilvl="3" w:tplc="0415000F" w:tentative="1">
      <w:start w:val="1"/>
      <w:numFmt w:val="decimal"/>
      <w:lvlText w:val="%4."/>
      <w:lvlJc w:val="left"/>
      <w:pPr>
        <w:ind w:left="3975" w:hanging="360"/>
      </w:pPr>
    </w:lvl>
    <w:lvl w:ilvl="4" w:tplc="04150019" w:tentative="1">
      <w:start w:val="1"/>
      <w:numFmt w:val="lowerLetter"/>
      <w:lvlText w:val="%5."/>
      <w:lvlJc w:val="left"/>
      <w:pPr>
        <w:ind w:left="4695" w:hanging="360"/>
      </w:pPr>
    </w:lvl>
    <w:lvl w:ilvl="5" w:tplc="0415001B" w:tentative="1">
      <w:start w:val="1"/>
      <w:numFmt w:val="lowerRoman"/>
      <w:lvlText w:val="%6."/>
      <w:lvlJc w:val="right"/>
      <w:pPr>
        <w:ind w:left="5415" w:hanging="180"/>
      </w:pPr>
    </w:lvl>
    <w:lvl w:ilvl="6" w:tplc="0415000F" w:tentative="1">
      <w:start w:val="1"/>
      <w:numFmt w:val="decimal"/>
      <w:lvlText w:val="%7."/>
      <w:lvlJc w:val="left"/>
      <w:pPr>
        <w:ind w:left="6135" w:hanging="360"/>
      </w:pPr>
    </w:lvl>
    <w:lvl w:ilvl="7" w:tplc="04150019" w:tentative="1">
      <w:start w:val="1"/>
      <w:numFmt w:val="lowerLetter"/>
      <w:lvlText w:val="%8."/>
      <w:lvlJc w:val="left"/>
      <w:pPr>
        <w:ind w:left="6855" w:hanging="360"/>
      </w:pPr>
    </w:lvl>
    <w:lvl w:ilvl="8" w:tplc="0415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3" w15:restartNumberingAfterBreak="0">
    <w:nsid w:val="24285D40"/>
    <w:multiLevelType w:val="hybridMultilevel"/>
    <w:tmpl w:val="17E02B8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D67C3A"/>
    <w:multiLevelType w:val="hybridMultilevel"/>
    <w:tmpl w:val="A37441CE"/>
    <w:lvl w:ilvl="0" w:tplc="E54AEE2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ED6210"/>
    <w:multiLevelType w:val="hybridMultilevel"/>
    <w:tmpl w:val="FF002F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767470"/>
    <w:multiLevelType w:val="hybridMultilevel"/>
    <w:tmpl w:val="7F30B6DA"/>
    <w:lvl w:ilvl="0" w:tplc="2EB8C27A">
      <w:start w:val="1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35" w:hanging="360"/>
      </w:pPr>
    </w:lvl>
    <w:lvl w:ilvl="2" w:tplc="0415001B" w:tentative="1">
      <w:start w:val="1"/>
      <w:numFmt w:val="lowerRoman"/>
      <w:lvlText w:val="%3."/>
      <w:lvlJc w:val="right"/>
      <w:pPr>
        <w:ind w:left="3255" w:hanging="180"/>
      </w:pPr>
    </w:lvl>
    <w:lvl w:ilvl="3" w:tplc="0415000F" w:tentative="1">
      <w:start w:val="1"/>
      <w:numFmt w:val="decimal"/>
      <w:lvlText w:val="%4."/>
      <w:lvlJc w:val="left"/>
      <w:pPr>
        <w:ind w:left="3975" w:hanging="360"/>
      </w:pPr>
    </w:lvl>
    <w:lvl w:ilvl="4" w:tplc="04150019" w:tentative="1">
      <w:start w:val="1"/>
      <w:numFmt w:val="lowerLetter"/>
      <w:lvlText w:val="%5."/>
      <w:lvlJc w:val="left"/>
      <w:pPr>
        <w:ind w:left="4695" w:hanging="360"/>
      </w:pPr>
    </w:lvl>
    <w:lvl w:ilvl="5" w:tplc="0415001B" w:tentative="1">
      <w:start w:val="1"/>
      <w:numFmt w:val="lowerRoman"/>
      <w:lvlText w:val="%6."/>
      <w:lvlJc w:val="right"/>
      <w:pPr>
        <w:ind w:left="5415" w:hanging="180"/>
      </w:pPr>
    </w:lvl>
    <w:lvl w:ilvl="6" w:tplc="0415000F" w:tentative="1">
      <w:start w:val="1"/>
      <w:numFmt w:val="decimal"/>
      <w:lvlText w:val="%7."/>
      <w:lvlJc w:val="left"/>
      <w:pPr>
        <w:ind w:left="6135" w:hanging="360"/>
      </w:pPr>
    </w:lvl>
    <w:lvl w:ilvl="7" w:tplc="04150019" w:tentative="1">
      <w:start w:val="1"/>
      <w:numFmt w:val="lowerLetter"/>
      <w:lvlText w:val="%8."/>
      <w:lvlJc w:val="left"/>
      <w:pPr>
        <w:ind w:left="6855" w:hanging="360"/>
      </w:pPr>
    </w:lvl>
    <w:lvl w:ilvl="8" w:tplc="0415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54E6398C"/>
    <w:multiLevelType w:val="hybridMultilevel"/>
    <w:tmpl w:val="0E7E625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FB7197"/>
    <w:multiLevelType w:val="hybridMultilevel"/>
    <w:tmpl w:val="452AEDB0"/>
    <w:lvl w:ilvl="0" w:tplc="DF38FB46">
      <w:start w:val="2023"/>
      <w:numFmt w:val="decimal"/>
      <w:lvlText w:val="%1"/>
      <w:lvlJc w:val="left"/>
      <w:pPr>
        <w:ind w:left="800" w:hanging="440"/>
      </w:pPr>
      <w:rPr>
        <w:rFonts w:eastAsiaTheme="minorHAns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706346"/>
    <w:multiLevelType w:val="hybridMultilevel"/>
    <w:tmpl w:val="DC38F094"/>
    <w:lvl w:ilvl="0" w:tplc="A3E8AC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08845715">
    <w:abstractNumId w:val="9"/>
  </w:num>
  <w:num w:numId="2" w16cid:durableId="1409422280">
    <w:abstractNumId w:val="4"/>
  </w:num>
  <w:num w:numId="3" w16cid:durableId="1543790198">
    <w:abstractNumId w:val="6"/>
  </w:num>
  <w:num w:numId="4" w16cid:durableId="849561848">
    <w:abstractNumId w:val="3"/>
  </w:num>
  <w:num w:numId="5" w16cid:durableId="868104815">
    <w:abstractNumId w:val="7"/>
  </w:num>
  <w:num w:numId="6" w16cid:durableId="1940986257">
    <w:abstractNumId w:val="0"/>
  </w:num>
  <w:num w:numId="7" w16cid:durableId="1464423727">
    <w:abstractNumId w:val="2"/>
  </w:num>
  <w:num w:numId="8" w16cid:durableId="1226650415">
    <w:abstractNumId w:val="1"/>
  </w:num>
  <w:num w:numId="9" w16cid:durableId="650796487">
    <w:abstractNumId w:val="8"/>
  </w:num>
  <w:num w:numId="10" w16cid:durableId="9827386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020"/>
    <w:rsid w:val="003F7B9A"/>
    <w:rsid w:val="004C004A"/>
    <w:rsid w:val="004C2353"/>
    <w:rsid w:val="008D4800"/>
    <w:rsid w:val="00984611"/>
    <w:rsid w:val="00E10F53"/>
    <w:rsid w:val="00E53020"/>
    <w:rsid w:val="00F50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378A0"/>
  <w15:chartTrackingRefBased/>
  <w15:docId w15:val="{54481EF3-2461-415D-B136-89B37CFAC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30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30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30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30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30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30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30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30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30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302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5302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3020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3020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3020"/>
    <w:rPr>
      <w:rFonts w:eastAsiaTheme="majorEastAsia" w:cstheme="majorBidi"/>
      <w:color w:val="0F4761" w:themeColor="accent1" w:themeShade="BF"/>
      <w:lang w:val="en-GB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3020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3020"/>
    <w:rPr>
      <w:rFonts w:eastAsiaTheme="majorEastAsia" w:cstheme="majorBidi"/>
      <w:color w:val="595959" w:themeColor="text1" w:themeTint="A6"/>
      <w:lang w:val="en-GB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3020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3020"/>
    <w:rPr>
      <w:rFonts w:eastAsiaTheme="majorEastAsia" w:cstheme="majorBidi"/>
      <w:color w:val="272727" w:themeColor="text1" w:themeTint="D8"/>
      <w:lang w:val="en-GB"/>
    </w:rPr>
  </w:style>
  <w:style w:type="paragraph" w:styleId="Tytu">
    <w:name w:val="Title"/>
    <w:basedOn w:val="Normalny"/>
    <w:next w:val="Normalny"/>
    <w:link w:val="TytuZnak"/>
    <w:uiPriority w:val="10"/>
    <w:qFormat/>
    <w:rsid w:val="00E530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5302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30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53020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ytat">
    <w:name w:val="Quote"/>
    <w:basedOn w:val="Normalny"/>
    <w:next w:val="Normalny"/>
    <w:link w:val="CytatZnak"/>
    <w:uiPriority w:val="29"/>
    <w:qFormat/>
    <w:rsid w:val="00E530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53020"/>
    <w:rPr>
      <w:i/>
      <w:iCs/>
      <w:color w:val="404040" w:themeColor="text1" w:themeTint="BF"/>
      <w:lang w:val="en-GB"/>
    </w:rPr>
  </w:style>
  <w:style w:type="paragraph" w:styleId="Akapitzlist">
    <w:name w:val="List Paragraph"/>
    <w:basedOn w:val="Normalny"/>
    <w:uiPriority w:val="34"/>
    <w:qFormat/>
    <w:rsid w:val="00E530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5302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530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53020"/>
    <w:rPr>
      <w:i/>
      <w:iCs/>
      <w:color w:val="0F4761" w:themeColor="accent1" w:themeShade="BF"/>
      <w:lang w:val="en-GB"/>
    </w:rPr>
  </w:style>
  <w:style w:type="character" w:styleId="Odwoanieintensywne">
    <w:name w:val="Intense Reference"/>
    <w:basedOn w:val="Domylnaczcionkaakapitu"/>
    <w:uiPriority w:val="32"/>
    <w:qFormat/>
    <w:rsid w:val="00E5302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8461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46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dmus.eui.eu/handle/1814/7675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26881/gsp.2025.1.09" TargetMode="External"/><Relationship Id="rId12" Type="http://schemas.openxmlformats.org/officeDocument/2006/relationships/hyperlink" Target="https://europeistyka.uj.edu.pl/documents/3458728/151580249/PWPM_2022_20_02_Kwiecien.pdf/4cd4d6a1-32e8-435a-97d0-83fbe43332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ill.com/display/book/9789004707979/BP000007.xml?body=pdf-60830" TargetMode="External"/><Relationship Id="rId11" Type="http://schemas.openxmlformats.org/officeDocument/2006/relationships/hyperlink" Target="https://www.nomos-elibrary.de/10.5771/0030-6444-2022-2-201/aggression-and-responsibility-under-international-law-a-case-of-the-aggression-of-the-russian-federation-aga" TargetMode="External"/><Relationship Id="rId5" Type="http://schemas.openxmlformats.org/officeDocument/2006/relationships/hyperlink" Target="https://brill.com/display/title/63663" TargetMode="External"/><Relationship Id="rId10" Type="http://schemas.openxmlformats.org/officeDocument/2006/relationships/hyperlink" Target="https://doi.org/10.21697/2022.11.1.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pozytorium.uni.wroc.pl/Content/135846/PDF/02_07_R_Kwiecien_Otwarcie_prawa_krajowego_na_prawo_miedzynarodowe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903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Kwiecień</dc:creator>
  <cp:keywords/>
  <dc:description/>
  <cp:lastModifiedBy>Roman Kwiecień</cp:lastModifiedBy>
  <cp:revision>2</cp:revision>
  <dcterms:created xsi:type="dcterms:W3CDTF">2025-05-06T12:01:00Z</dcterms:created>
  <dcterms:modified xsi:type="dcterms:W3CDTF">2025-05-06T12:36:00Z</dcterms:modified>
</cp:coreProperties>
</file>